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F27" w:rsidRDefault="00BF6F27" w:rsidP="00BF6F27">
      <w:pPr>
        <w:spacing w:after="0" w:line="240" w:lineRule="auto"/>
        <w:jc w:val="center"/>
        <w:rPr>
          <w:rFonts w:ascii="Times New Roman" w:eastAsia="Times New Roman" w:hAnsi="Times New Roman" w:cs="Times New Roman"/>
          <w:b/>
          <w:bCs/>
          <w:sz w:val="24"/>
          <w:szCs w:val="24"/>
          <w:lang w:eastAsia="es-ES"/>
        </w:rPr>
      </w:pPr>
    </w:p>
    <w:p w:rsidR="00BF6F27" w:rsidRDefault="00BF6F27" w:rsidP="00BF6F27">
      <w:pPr>
        <w:spacing w:after="0" w:line="240" w:lineRule="auto"/>
        <w:jc w:val="center"/>
        <w:rPr>
          <w:rFonts w:ascii="Times New Roman" w:eastAsia="Times New Roman" w:hAnsi="Times New Roman" w:cs="Times New Roman"/>
          <w:b/>
          <w:bCs/>
          <w:sz w:val="24"/>
          <w:szCs w:val="24"/>
          <w:lang w:eastAsia="es-ES"/>
        </w:rPr>
      </w:pPr>
    </w:p>
    <w:p w:rsidR="00BF6F27" w:rsidRDefault="00BF6F27" w:rsidP="00BF6F27">
      <w:pPr>
        <w:spacing w:after="0" w:line="240" w:lineRule="auto"/>
        <w:jc w:val="center"/>
        <w:rPr>
          <w:rFonts w:ascii="Times New Roman" w:eastAsia="Times New Roman" w:hAnsi="Times New Roman" w:cs="Times New Roman"/>
          <w:b/>
          <w:bCs/>
          <w:sz w:val="24"/>
          <w:szCs w:val="24"/>
          <w:lang w:eastAsia="es-ES"/>
        </w:rPr>
      </w:pPr>
    </w:p>
    <w:p w:rsidR="00BF6F27" w:rsidRPr="00BF6F27" w:rsidRDefault="00BF6F27" w:rsidP="00BF6F27">
      <w:pPr>
        <w:spacing w:after="0" w:line="240" w:lineRule="auto"/>
        <w:jc w:val="center"/>
        <w:rPr>
          <w:rFonts w:ascii="Times New Roman" w:eastAsia="Times New Roman" w:hAnsi="Times New Roman" w:cs="Times New Roman"/>
          <w:sz w:val="24"/>
          <w:szCs w:val="24"/>
          <w:lang w:eastAsia="es-ES"/>
        </w:rPr>
      </w:pPr>
      <w:r w:rsidRPr="00BF6F27">
        <w:rPr>
          <w:rFonts w:ascii="Times New Roman" w:eastAsia="Times New Roman" w:hAnsi="Times New Roman" w:cs="Times New Roman"/>
          <w:b/>
          <w:bCs/>
          <w:sz w:val="24"/>
          <w:szCs w:val="24"/>
          <w:lang w:eastAsia="es-ES"/>
        </w:rPr>
        <w:t>Concepto Nº 035333</w:t>
      </w:r>
    </w:p>
    <w:p w:rsidR="00BF6F27" w:rsidRDefault="00BF6F27" w:rsidP="00BF6F27">
      <w:pPr>
        <w:spacing w:after="0" w:line="240" w:lineRule="auto"/>
        <w:jc w:val="center"/>
        <w:rPr>
          <w:rFonts w:ascii="Times New Roman" w:eastAsia="Times New Roman" w:hAnsi="Times New Roman" w:cs="Times New Roman"/>
          <w:b/>
          <w:bCs/>
          <w:sz w:val="24"/>
          <w:szCs w:val="24"/>
          <w:lang w:eastAsia="es-ES"/>
        </w:rPr>
      </w:pPr>
    </w:p>
    <w:p w:rsidR="00BF6F27" w:rsidRPr="00BF6F27" w:rsidRDefault="00BF6F27" w:rsidP="00BF6F27">
      <w:pPr>
        <w:spacing w:after="0" w:line="240" w:lineRule="auto"/>
        <w:jc w:val="center"/>
        <w:rPr>
          <w:rFonts w:ascii="Times New Roman" w:eastAsia="Times New Roman" w:hAnsi="Times New Roman" w:cs="Times New Roman"/>
          <w:sz w:val="24"/>
          <w:szCs w:val="24"/>
          <w:lang w:eastAsia="es-ES"/>
        </w:rPr>
      </w:pPr>
      <w:r w:rsidRPr="00BF6F27">
        <w:rPr>
          <w:rFonts w:ascii="Times New Roman" w:eastAsia="Times New Roman" w:hAnsi="Times New Roman" w:cs="Times New Roman"/>
          <w:b/>
          <w:bCs/>
          <w:sz w:val="24"/>
          <w:szCs w:val="24"/>
          <w:lang w:eastAsia="es-ES"/>
        </w:rPr>
        <w:t>17-06-2002</w:t>
      </w:r>
    </w:p>
    <w:p w:rsidR="00BF6F27" w:rsidRDefault="00BF6F27" w:rsidP="00BF6F27">
      <w:pPr>
        <w:spacing w:after="0" w:line="240" w:lineRule="auto"/>
        <w:jc w:val="center"/>
        <w:rPr>
          <w:rFonts w:ascii="Times New Roman" w:eastAsia="Times New Roman" w:hAnsi="Times New Roman" w:cs="Times New Roman"/>
          <w:b/>
          <w:bCs/>
          <w:sz w:val="24"/>
          <w:szCs w:val="24"/>
          <w:lang w:eastAsia="es-ES"/>
        </w:rPr>
      </w:pPr>
    </w:p>
    <w:p w:rsidR="00BF6F27" w:rsidRPr="00BF6F27" w:rsidRDefault="00BF6F27" w:rsidP="00BF6F27">
      <w:pPr>
        <w:spacing w:after="0" w:line="240" w:lineRule="auto"/>
        <w:jc w:val="center"/>
        <w:rPr>
          <w:rFonts w:ascii="Times New Roman" w:eastAsia="Times New Roman" w:hAnsi="Times New Roman" w:cs="Times New Roman"/>
          <w:sz w:val="24"/>
          <w:szCs w:val="24"/>
          <w:lang w:eastAsia="es-ES"/>
        </w:rPr>
      </w:pPr>
      <w:proofErr w:type="spellStart"/>
      <w:r w:rsidRPr="00BF6F27">
        <w:rPr>
          <w:rFonts w:ascii="Times New Roman" w:eastAsia="Times New Roman" w:hAnsi="Times New Roman" w:cs="Times New Roman"/>
          <w:b/>
          <w:bCs/>
          <w:sz w:val="24"/>
          <w:szCs w:val="24"/>
          <w:lang w:eastAsia="es-ES"/>
        </w:rPr>
        <w:t>Dian</w:t>
      </w:r>
      <w:proofErr w:type="spellEnd"/>
    </w:p>
    <w:p w:rsidR="00BF6F27" w:rsidRPr="00BF6F27" w:rsidRDefault="00BF6F27" w:rsidP="00BF6F27">
      <w:pPr>
        <w:spacing w:after="0" w:line="240" w:lineRule="auto"/>
        <w:jc w:val="center"/>
        <w:rPr>
          <w:rFonts w:ascii="Times New Roman" w:eastAsia="Times New Roman" w:hAnsi="Times New Roman" w:cs="Times New Roman"/>
          <w:sz w:val="24"/>
          <w:szCs w:val="24"/>
          <w:lang w:eastAsia="es-ES"/>
        </w:rPr>
      </w:pPr>
      <w:r w:rsidRPr="00BF6F27">
        <w:rPr>
          <w:rFonts w:ascii="Times New Roman" w:eastAsia="Times New Roman" w:hAnsi="Times New Roman" w:cs="Times New Roman"/>
          <w:b/>
          <w:bCs/>
          <w:sz w:val="24"/>
          <w:szCs w:val="24"/>
          <w:lang w:eastAsia="es-ES"/>
        </w:rPr>
        <w:t> </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sz w:val="24"/>
          <w:szCs w:val="24"/>
          <w:lang w:eastAsia="es-ES"/>
        </w:rPr>
        <w:t> </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sz w:val="24"/>
          <w:szCs w:val="24"/>
          <w:lang w:eastAsia="es-ES"/>
        </w:rPr>
        <w:t> </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b/>
          <w:bCs/>
          <w:sz w:val="24"/>
          <w:szCs w:val="24"/>
          <w:lang w:eastAsia="es-ES"/>
        </w:rPr>
        <w:t>Tema</w:t>
      </w:r>
      <w:r w:rsidRPr="00BF6F27">
        <w:rPr>
          <w:rFonts w:ascii="Times New Roman" w:eastAsia="Times New Roman" w:hAnsi="Times New Roman" w:cs="Times New Roman"/>
          <w:sz w:val="24"/>
          <w:szCs w:val="24"/>
          <w:lang w:eastAsia="es-ES"/>
        </w:rPr>
        <w:tab/>
      </w:r>
      <w:r w:rsidRPr="00BF6F27">
        <w:rPr>
          <w:rFonts w:ascii="Times New Roman" w:eastAsia="Times New Roman" w:hAnsi="Times New Roman" w:cs="Times New Roman"/>
          <w:sz w:val="24"/>
          <w:szCs w:val="24"/>
          <w:lang w:eastAsia="es-ES"/>
        </w:rPr>
        <w:tab/>
        <w:t xml:space="preserve">  : Procedimiento.</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b/>
          <w:bCs/>
          <w:sz w:val="24"/>
          <w:szCs w:val="24"/>
          <w:lang w:eastAsia="es-ES"/>
        </w:rPr>
        <w:t xml:space="preserve">Descriptores          </w:t>
      </w:r>
      <w:r w:rsidRPr="00BF6F27">
        <w:rPr>
          <w:rFonts w:ascii="Times New Roman" w:eastAsia="Times New Roman" w:hAnsi="Times New Roman" w:cs="Times New Roman"/>
          <w:sz w:val="24"/>
          <w:szCs w:val="24"/>
          <w:lang w:eastAsia="es-ES"/>
        </w:rPr>
        <w:t>:</w:t>
      </w:r>
      <w:r w:rsidRPr="00BF6F27">
        <w:rPr>
          <w:rFonts w:ascii="Times New Roman" w:eastAsia="Times New Roman" w:hAnsi="Times New Roman" w:cs="Times New Roman"/>
          <w:sz w:val="24"/>
          <w:szCs w:val="24"/>
          <w:lang w:eastAsia="es-ES"/>
        </w:rPr>
        <w:tab/>
        <w:t>Formulario declaraciones</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sz w:val="24"/>
          <w:szCs w:val="24"/>
          <w:lang w:eastAsia="es-ES"/>
        </w:rPr>
        <w:t> </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sz w:val="24"/>
          <w:szCs w:val="24"/>
          <w:lang w:eastAsia="es-ES"/>
        </w:rPr>
        <w:t> </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sz w:val="24"/>
          <w:szCs w:val="24"/>
          <w:lang w:eastAsia="es-ES"/>
        </w:rPr>
        <w:t>De conformidad con el artículo 11 del Decreto 1265 de 1999, este despacho se encuentra facultado para absolver de manera general las consultas que se formulan sobre la interpretación y aplicación de las normas tributarias de carácter nacional. En este sentido se emite el presente concepto.</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sz w:val="24"/>
          <w:szCs w:val="24"/>
          <w:lang w:eastAsia="es-ES"/>
        </w:rPr>
        <w:t> </w:t>
      </w:r>
    </w:p>
    <w:p w:rsidR="00BF6F27" w:rsidRPr="00BF6F27" w:rsidRDefault="00BF6F27" w:rsidP="00BF6F27">
      <w:pPr>
        <w:spacing w:after="0" w:line="240" w:lineRule="auto"/>
        <w:jc w:val="both"/>
        <w:outlineLvl w:val="1"/>
        <w:rPr>
          <w:rFonts w:ascii="Times New Roman" w:eastAsia="Times New Roman" w:hAnsi="Times New Roman" w:cs="Times New Roman"/>
          <w:b/>
          <w:bCs/>
          <w:sz w:val="24"/>
          <w:szCs w:val="24"/>
          <w:lang w:eastAsia="es-ES"/>
        </w:rPr>
      </w:pPr>
      <w:r w:rsidRPr="00BF6F27">
        <w:rPr>
          <w:rFonts w:ascii="Times New Roman" w:eastAsia="Times New Roman" w:hAnsi="Times New Roman" w:cs="Times New Roman"/>
          <w:b/>
          <w:bCs/>
          <w:sz w:val="24"/>
          <w:szCs w:val="24"/>
          <w:lang w:eastAsia="es-ES"/>
        </w:rPr>
        <w:t>PROBLEMA JURÍDICO</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sz w:val="24"/>
          <w:szCs w:val="24"/>
          <w:lang w:eastAsia="es-ES"/>
        </w:rPr>
        <w:t> </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sz w:val="24"/>
          <w:szCs w:val="24"/>
          <w:lang w:eastAsia="es-ES"/>
        </w:rPr>
        <w:t>¿Las declaraciones tributarias presentadas  en formulario no autorizado por la Dirección de Impuestos de Aduanas Nacionales, pero diferente al indicado, se tiene como no presentada?</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sz w:val="24"/>
          <w:szCs w:val="24"/>
          <w:lang w:eastAsia="es-ES"/>
        </w:rPr>
        <w:t> </w:t>
      </w:r>
    </w:p>
    <w:p w:rsidR="00BF6F27" w:rsidRPr="00BF6F27" w:rsidRDefault="00BF6F27" w:rsidP="00BF6F27">
      <w:pPr>
        <w:spacing w:after="0" w:line="240" w:lineRule="auto"/>
        <w:jc w:val="both"/>
        <w:outlineLvl w:val="1"/>
        <w:rPr>
          <w:rFonts w:ascii="Times New Roman" w:eastAsia="Times New Roman" w:hAnsi="Times New Roman" w:cs="Times New Roman"/>
          <w:b/>
          <w:bCs/>
          <w:sz w:val="24"/>
          <w:szCs w:val="24"/>
          <w:lang w:eastAsia="es-ES"/>
        </w:rPr>
      </w:pPr>
      <w:r w:rsidRPr="00BF6F27">
        <w:rPr>
          <w:rFonts w:ascii="Times New Roman" w:eastAsia="Times New Roman" w:hAnsi="Times New Roman" w:cs="Times New Roman"/>
          <w:b/>
          <w:bCs/>
          <w:sz w:val="24"/>
          <w:szCs w:val="24"/>
          <w:lang w:eastAsia="es-ES"/>
        </w:rPr>
        <w:t>TESIS JURÍDICA</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sz w:val="24"/>
          <w:szCs w:val="24"/>
          <w:lang w:eastAsia="es-ES"/>
        </w:rPr>
        <w:t> </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sz w:val="24"/>
          <w:szCs w:val="24"/>
          <w:lang w:eastAsia="es-ES"/>
        </w:rPr>
        <w:t>Las declaraciones tributarias que se presenten  en formularios diferentes a los autorizados  para el tributo correspondiente, no pueden tenerse como no presentadas.</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sz w:val="24"/>
          <w:szCs w:val="24"/>
          <w:lang w:eastAsia="es-ES"/>
        </w:rPr>
        <w:t> </w:t>
      </w:r>
    </w:p>
    <w:p w:rsidR="00BF6F27" w:rsidRPr="00BF6F27" w:rsidRDefault="00BF6F27" w:rsidP="00BF6F27">
      <w:pPr>
        <w:spacing w:after="0" w:line="240" w:lineRule="auto"/>
        <w:jc w:val="both"/>
        <w:outlineLvl w:val="1"/>
        <w:rPr>
          <w:rFonts w:ascii="Times New Roman" w:eastAsia="Times New Roman" w:hAnsi="Times New Roman" w:cs="Times New Roman"/>
          <w:b/>
          <w:bCs/>
          <w:sz w:val="24"/>
          <w:szCs w:val="24"/>
          <w:lang w:eastAsia="es-ES"/>
        </w:rPr>
      </w:pPr>
      <w:r w:rsidRPr="00BF6F27">
        <w:rPr>
          <w:rFonts w:ascii="Times New Roman" w:eastAsia="Times New Roman" w:hAnsi="Times New Roman" w:cs="Times New Roman"/>
          <w:b/>
          <w:bCs/>
          <w:sz w:val="24"/>
          <w:szCs w:val="24"/>
          <w:lang w:eastAsia="es-ES"/>
        </w:rPr>
        <w:t>INTERPRETACIÓN JURÍDICA</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sz w:val="24"/>
          <w:szCs w:val="24"/>
          <w:lang w:eastAsia="es-ES"/>
        </w:rPr>
        <w:t> </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sz w:val="24"/>
          <w:szCs w:val="24"/>
          <w:lang w:eastAsia="es-ES"/>
        </w:rPr>
        <w:t xml:space="preserve">El </w:t>
      </w:r>
      <w:hyperlink r:id="rId4" w:tooltip="Estatuto Tributario CETA" w:history="1">
        <w:r w:rsidRPr="00BF6F27">
          <w:rPr>
            <w:rFonts w:ascii="Times New Roman" w:eastAsia="Times New Roman" w:hAnsi="Times New Roman" w:cs="Times New Roman"/>
            <w:sz w:val="24"/>
            <w:szCs w:val="24"/>
            <w:lang w:eastAsia="es-ES"/>
          </w:rPr>
          <w:t>artículo 578</w:t>
        </w:r>
      </w:hyperlink>
      <w:r w:rsidRPr="00BF6F27">
        <w:rPr>
          <w:rFonts w:ascii="Times New Roman" w:eastAsia="Times New Roman" w:hAnsi="Times New Roman" w:cs="Times New Roman"/>
          <w:sz w:val="24"/>
          <w:szCs w:val="24"/>
          <w:lang w:eastAsia="es-ES"/>
        </w:rPr>
        <w:t xml:space="preserve"> del Estatuto Tributario dispone que la declaración tributaria se </w:t>
      </w:r>
      <w:proofErr w:type="gramStart"/>
      <w:r w:rsidRPr="00BF6F27">
        <w:rPr>
          <w:rFonts w:ascii="Times New Roman" w:eastAsia="Times New Roman" w:hAnsi="Times New Roman" w:cs="Times New Roman"/>
          <w:sz w:val="24"/>
          <w:szCs w:val="24"/>
          <w:lang w:eastAsia="es-ES"/>
        </w:rPr>
        <w:t>presentará</w:t>
      </w:r>
      <w:proofErr w:type="gramEnd"/>
      <w:r w:rsidRPr="00BF6F27">
        <w:rPr>
          <w:rFonts w:ascii="Times New Roman" w:eastAsia="Times New Roman" w:hAnsi="Times New Roman" w:cs="Times New Roman"/>
          <w:sz w:val="24"/>
          <w:szCs w:val="24"/>
          <w:lang w:eastAsia="es-ES"/>
        </w:rPr>
        <w:t xml:space="preserve"> en los formatos que prescriba la Dirección General de Impuestos Nacionales y en circunstancias  excepcionales, el Director de Impuestos Nacionales, podrá autorizar la recepción de declaraciones que no se presenten en los formularios oficiales.</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sz w:val="24"/>
          <w:szCs w:val="24"/>
          <w:lang w:eastAsia="es-ES"/>
        </w:rPr>
        <w:t> </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sz w:val="24"/>
          <w:szCs w:val="24"/>
          <w:lang w:eastAsia="es-ES"/>
        </w:rPr>
        <w:t xml:space="preserve">Los artículo </w:t>
      </w:r>
      <w:hyperlink r:id="rId5" w:tooltip="Estatuto Tributario CETA" w:history="1">
        <w:r w:rsidRPr="00BF6F27">
          <w:rPr>
            <w:rFonts w:ascii="Times New Roman" w:eastAsia="Times New Roman" w:hAnsi="Times New Roman" w:cs="Times New Roman"/>
            <w:sz w:val="24"/>
            <w:szCs w:val="24"/>
            <w:lang w:eastAsia="es-ES"/>
          </w:rPr>
          <w:t>596</w:t>
        </w:r>
      </w:hyperlink>
      <w:r w:rsidRPr="00BF6F27">
        <w:rPr>
          <w:rFonts w:ascii="Times New Roman" w:eastAsia="Times New Roman" w:hAnsi="Times New Roman" w:cs="Times New Roman"/>
          <w:sz w:val="24"/>
          <w:szCs w:val="24"/>
          <w:lang w:eastAsia="es-ES"/>
        </w:rPr>
        <w:t xml:space="preserve">, </w:t>
      </w:r>
      <w:hyperlink r:id="rId6" w:tooltip="Estatuto Tributario CETA" w:history="1">
        <w:r w:rsidRPr="00BF6F27">
          <w:rPr>
            <w:rFonts w:ascii="Times New Roman" w:eastAsia="Times New Roman" w:hAnsi="Times New Roman" w:cs="Times New Roman"/>
            <w:sz w:val="24"/>
            <w:szCs w:val="24"/>
            <w:lang w:eastAsia="es-ES"/>
          </w:rPr>
          <w:t>599</w:t>
        </w:r>
      </w:hyperlink>
      <w:r w:rsidRPr="00BF6F27">
        <w:rPr>
          <w:rFonts w:ascii="Times New Roman" w:eastAsia="Times New Roman" w:hAnsi="Times New Roman" w:cs="Times New Roman"/>
          <w:sz w:val="24"/>
          <w:szCs w:val="24"/>
          <w:lang w:eastAsia="es-ES"/>
        </w:rPr>
        <w:t xml:space="preserve">, </w:t>
      </w:r>
      <w:hyperlink r:id="rId7" w:tooltip="Estatuto Tributario CETA" w:history="1">
        <w:r w:rsidRPr="00BF6F27">
          <w:rPr>
            <w:rFonts w:ascii="Times New Roman" w:eastAsia="Times New Roman" w:hAnsi="Times New Roman" w:cs="Times New Roman"/>
            <w:sz w:val="24"/>
            <w:szCs w:val="24"/>
            <w:lang w:eastAsia="es-ES"/>
          </w:rPr>
          <w:t>602</w:t>
        </w:r>
      </w:hyperlink>
      <w:r w:rsidRPr="00BF6F27">
        <w:rPr>
          <w:rFonts w:ascii="Times New Roman" w:eastAsia="Times New Roman" w:hAnsi="Times New Roman" w:cs="Times New Roman"/>
          <w:sz w:val="24"/>
          <w:szCs w:val="24"/>
          <w:lang w:eastAsia="es-ES"/>
        </w:rPr>
        <w:t xml:space="preserve"> y </w:t>
      </w:r>
      <w:hyperlink r:id="rId8" w:tooltip="Estatuto Tributario CETA" w:history="1">
        <w:r w:rsidRPr="00BF6F27">
          <w:rPr>
            <w:rFonts w:ascii="Times New Roman" w:eastAsia="Times New Roman" w:hAnsi="Times New Roman" w:cs="Times New Roman"/>
            <w:sz w:val="24"/>
            <w:szCs w:val="24"/>
            <w:lang w:eastAsia="es-ES"/>
          </w:rPr>
          <w:t>606</w:t>
        </w:r>
      </w:hyperlink>
      <w:r w:rsidRPr="00BF6F27">
        <w:rPr>
          <w:rFonts w:ascii="Times New Roman" w:eastAsia="Times New Roman" w:hAnsi="Times New Roman" w:cs="Times New Roman"/>
          <w:sz w:val="24"/>
          <w:szCs w:val="24"/>
          <w:lang w:eastAsia="es-ES"/>
        </w:rPr>
        <w:t xml:space="preserve"> del mismo estatuto al indicar el contenido de las distintas declaraciones tributarias, exige el formulario que para el efecto señale  la Dirección General de Impuestos Nacionales, debidamente diligenciado.</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sz w:val="24"/>
          <w:szCs w:val="24"/>
          <w:lang w:eastAsia="es-ES"/>
        </w:rPr>
        <w:t> </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sz w:val="24"/>
          <w:szCs w:val="24"/>
          <w:lang w:eastAsia="es-ES"/>
        </w:rPr>
        <w:t>Anualmente, por medio de  Resoluciones, la Dirección General señala los formularios con las especificaciones del caso, para cada una de las declaraciones, y con indicación de los datos a diligenciar.</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sz w:val="24"/>
          <w:szCs w:val="24"/>
          <w:lang w:eastAsia="es-ES"/>
        </w:rPr>
        <w:t> </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sz w:val="24"/>
          <w:szCs w:val="24"/>
          <w:lang w:eastAsia="es-ES"/>
        </w:rPr>
        <w:t xml:space="preserve">Estos requerimientos legales son indispensables, para el contribuyente, responsable, agente retenedor o declarante  pueda cumplir apropiadamente consignando los factores necesarios  </w:t>
      </w:r>
      <w:r w:rsidRPr="00BF6F27">
        <w:rPr>
          <w:rFonts w:ascii="Times New Roman" w:eastAsia="Times New Roman" w:hAnsi="Times New Roman" w:cs="Times New Roman"/>
          <w:sz w:val="24"/>
          <w:szCs w:val="24"/>
          <w:lang w:eastAsia="es-ES"/>
        </w:rPr>
        <w:lastRenderedPageBreak/>
        <w:t>para determinar sus obligaciones tributarias sustantivas, y para que la Administración Tributaria, pueda ejercer los controles asignados por la propia ley según la naturaleza de cada impuesto.</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sz w:val="24"/>
          <w:szCs w:val="24"/>
          <w:lang w:eastAsia="es-ES"/>
        </w:rPr>
        <w:t> </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sz w:val="24"/>
          <w:szCs w:val="24"/>
          <w:lang w:eastAsia="es-ES"/>
        </w:rPr>
        <w:t xml:space="preserve">Por su parte, los artículos </w:t>
      </w:r>
      <w:hyperlink r:id="rId9" w:tooltip="Estatuto Tributario CETA" w:history="1">
        <w:r w:rsidRPr="00BF6F27">
          <w:rPr>
            <w:rFonts w:ascii="Times New Roman" w:eastAsia="Times New Roman" w:hAnsi="Times New Roman" w:cs="Times New Roman"/>
            <w:sz w:val="24"/>
            <w:szCs w:val="24"/>
            <w:lang w:eastAsia="es-ES"/>
          </w:rPr>
          <w:t>580</w:t>
        </w:r>
      </w:hyperlink>
      <w:r w:rsidRPr="00BF6F27">
        <w:rPr>
          <w:rFonts w:ascii="Times New Roman" w:eastAsia="Times New Roman" w:hAnsi="Times New Roman" w:cs="Times New Roman"/>
          <w:sz w:val="24"/>
          <w:szCs w:val="24"/>
          <w:lang w:eastAsia="es-ES"/>
        </w:rPr>
        <w:t xml:space="preserve"> y </w:t>
      </w:r>
      <w:hyperlink r:id="rId10" w:tooltip="Estatuto Tributario CETA" w:history="1">
        <w:r w:rsidRPr="00BF6F27">
          <w:rPr>
            <w:rFonts w:ascii="Times New Roman" w:eastAsia="Times New Roman" w:hAnsi="Times New Roman" w:cs="Times New Roman"/>
            <w:sz w:val="24"/>
            <w:szCs w:val="24"/>
            <w:lang w:eastAsia="es-ES"/>
          </w:rPr>
          <w:t>650-1</w:t>
        </w:r>
      </w:hyperlink>
      <w:r w:rsidRPr="00BF6F27">
        <w:rPr>
          <w:rFonts w:ascii="Times New Roman" w:eastAsia="Times New Roman" w:hAnsi="Times New Roman" w:cs="Times New Roman"/>
          <w:sz w:val="24"/>
          <w:szCs w:val="24"/>
          <w:lang w:eastAsia="es-ES"/>
        </w:rPr>
        <w:t xml:space="preserve"> contienen las causales por las cuales se tiene una declaración  como no presentada, causales  dispuestas por la ley  como taxativas, de tal manera que un funcionario de conocimiento, no está facultado para considerar que una declaración se pueda tener como no presentada por causal diferente a las especificadas en las normas mencionadas. Por eso, la sentencia que se cita en la consulta, que resuelve un caso de nulidad y restablecimiento del derecho, ha dicho que “...el incumplimiento a dicha disposición al presentar la declaración en formato oficial no prescrito por la Administración para un período determinado, no está previsto en norma alguna como causal  para tener por no presentada la declaración privada, así elevada ante la Administración.”</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sz w:val="24"/>
          <w:szCs w:val="24"/>
          <w:lang w:eastAsia="es-ES"/>
        </w:rPr>
        <w:t> </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sz w:val="24"/>
          <w:szCs w:val="24"/>
          <w:lang w:eastAsia="es-ES"/>
        </w:rPr>
        <w:t>Este Despacho comparte esta apreciación, como se dijo por el carácter taxativo de las causales  por las cuales se tiene una declaración como no presentada y por cuanto de una u otra forma  el contribuyente ha cumplido con su obligación formal lo cual no puede desconocerse sin fundamento legal que así lo permita.</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sz w:val="24"/>
          <w:szCs w:val="24"/>
          <w:lang w:eastAsia="es-ES"/>
        </w:rPr>
        <w:t> </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sz w:val="24"/>
          <w:szCs w:val="24"/>
          <w:lang w:eastAsia="es-ES"/>
        </w:rPr>
        <w:t>Pueden ocurrir diversos  casos en los cuales una declaración se presente en un formulario inadecuado, ejemplos: que se presente en un formulario no autorizado para el período; que se presente en un formulario que no corresponda a la naturaleza  jurídica de la persona, caso de la declaración de renta de una persona natural que presente  la declaración  en el formulario de una persona jurídica, o en sentido contrario; que la declaración de un impuesto se presente en el formulario correspondiente a otro impuesto o de retención en la fuente.</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sz w:val="24"/>
          <w:szCs w:val="24"/>
          <w:lang w:eastAsia="es-ES"/>
        </w:rPr>
        <w:t> </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sz w:val="24"/>
          <w:szCs w:val="24"/>
          <w:lang w:eastAsia="es-ES"/>
        </w:rPr>
        <w:t xml:space="preserve">Ahora bien, una declaración presentada en estas circunstancias no puede tenerse como no presentada, por no estar configurada dicha  actuación  como causal para considerarla  no presentada. Existen mecanismos para enderezar el procedimiento, uno de los cuales es el que proporciona  el </w:t>
      </w:r>
      <w:hyperlink r:id="rId11" w:tooltip="Estatuto Tributario CETA" w:history="1">
        <w:r w:rsidRPr="00BF6F27">
          <w:rPr>
            <w:rFonts w:ascii="Times New Roman" w:eastAsia="Times New Roman" w:hAnsi="Times New Roman" w:cs="Times New Roman"/>
            <w:sz w:val="24"/>
            <w:szCs w:val="24"/>
            <w:lang w:eastAsia="es-ES"/>
          </w:rPr>
          <w:t>articulo 588</w:t>
        </w:r>
      </w:hyperlink>
      <w:r w:rsidRPr="00BF6F27">
        <w:rPr>
          <w:rFonts w:ascii="Times New Roman" w:eastAsia="Times New Roman" w:hAnsi="Times New Roman" w:cs="Times New Roman"/>
          <w:sz w:val="24"/>
          <w:szCs w:val="24"/>
          <w:lang w:eastAsia="es-ES"/>
        </w:rPr>
        <w:t xml:space="preserve"> del Estatuto Tributario presentando una declaración  de corrección en el formulario correspondiente para el caso ante las entidades financieras autorizadas, sin necesidad de liquidar sanción, siempre y cuando sea solamente para adicionar  la información en el formulario que corresponde sin variar  el total a pagar o el saldo a favor. Si adicionalmente se aumenta el valor  a pagar o se disminuye el saldo a favor deberá liquidarse la sanción por corrección de que trata el </w:t>
      </w:r>
      <w:hyperlink r:id="rId12" w:tooltip="Estatuto Tributario CETA" w:history="1">
        <w:r w:rsidRPr="00BF6F27">
          <w:rPr>
            <w:rFonts w:ascii="Times New Roman" w:eastAsia="Times New Roman" w:hAnsi="Times New Roman" w:cs="Times New Roman"/>
            <w:sz w:val="24"/>
            <w:szCs w:val="24"/>
            <w:lang w:eastAsia="es-ES"/>
          </w:rPr>
          <w:t>artículo 644</w:t>
        </w:r>
      </w:hyperlink>
      <w:r w:rsidRPr="00BF6F27">
        <w:rPr>
          <w:rFonts w:ascii="Times New Roman" w:eastAsia="Times New Roman" w:hAnsi="Times New Roman" w:cs="Times New Roman"/>
          <w:sz w:val="24"/>
          <w:szCs w:val="24"/>
          <w:lang w:eastAsia="es-ES"/>
        </w:rPr>
        <w:t xml:space="preserve"> del Estatuto Tributario. Si la corrección se presenta por fuera  de los dos años que establece  esta norma, solo se cambiaría el formulario para efectos de la cuenta corriente. En el caso específico de la presentación  de una declaración en el formulario correspondiente a otro impuesto, considera el Despacho que puede darse la posibilidad de tener la declaración por no presentada con fundamento en el literal c) del </w:t>
      </w:r>
      <w:hyperlink r:id="rId13" w:tooltip="Estatuto Tributario CETA" w:history="1">
        <w:r w:rsidRPr="00BF6F27">
          <w:rPr>
            <w:rFonts w:ascii="Times New Roman" w:eastAsia="Times New Roman" w:hAnsi="Times New Roman" w:cs="Times New Roman"/>
            <w:sz w:val="24"/>
            <w:szCs w:val="24"/>
            <w:lang w:eastAsia="es-ES"/>
          </w:rPr>
          <w:t>Articulo 580</w:t>
        </w:r>
      </w:hyperlink>
      <w:r w:rsidRPr="00BF6F27">
        <w:rPr>
          <w:rFonts w:ascii="Times New Roman" w:eastAsia="Times New Roman" w:hAnsi="Times New Roman" w:cs="Times New Roman"/>
          <w:sz w:val="24"/>
          <w:szCs w:val="24"/>
          <w:lang w:eastAsia="es-ES"/>
        </w:rPr>
        <w:t xml:space="preserve"> del estatuto Tributario, es decir, por no contener  los factores necesarios  para identificar las bases gravables, ya que cada impuesto, así como la retención en la fuente, contiene factores y bases diferentes. En los casos que se presentaron o llegaren a presentarse con respecto al impuesto de timbre que para la época en que se exigía la declaración de timbre y en su lugar se declaró en el formulario de retención en la fuente, ha debido invocarse esta causal.</w:t>
      </w: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sz w:val="24"/>
          <w:szCs w:val="24"/>
          <w:lang w:eastAsia="es-ES"/>
        </w:rPr>
        <w:t> </w:t>
      </w:r>
    </w:p>
    <w:p w:rsidR="00BF6F27" w:rsidRDefault="00BF6F27" w:rsidP="00BF6F27">
      <w:pPr>
        <w:spacing w:after="0" w:line="240" w:lineRule="auto"/>
        <w:jc w:val="both"/>
        <w:rPr>
          <w:rFonts w:ascii="Times New Roman" w:eastAsia="Times New Roman" w:hAnsi="Times New Roman" w:cs="Times New Roman"/>
          <w:sz w:val="24"/>
          <w:szCs w:val="24"/>
          <w:lang w:eastAsia="es-ES"/>
        </w:rPr>
      </w:pPr>
      <w:r w:rsidRPr="00BF6F27">
        <w:rPr>
          <w:rFonts w:ascii="Times New Roman" w:eastAsia="Times New Roman" w:hAnsi="Times New Roman" w:cs="Times New Roman"/>
          <w:sz w:val="24"/>
          <w:szCs w:val="24"/>
          <w:lang w:eastAsia="es-ES"/>
        </w:rPr>
        <w:lastRenderedPageBreak/>
        <w:t>Atentamente</w:t>
      </w:r>
    </w:p>
    <w:p w:rsidR="00BF6F27" w:rsidRDefault="00BF6F27" w:rsidP="00BF6F27">
      <w:pPr>
        <w:spacing w:after="0" w:line="240" w:lineRule="auto"/>
        <w:jc w:val="both"/>
        <w:rPr>
          <w:rFonts w:ascii="Times New Roman" w:eastAsia="Times New Roman" w:hAnsi="Times New Roman" w:cs="Times New Roman"/>
          <w:sz w:val="24"/>
          <w:szCs w:val="24"/>
          <w:lang w:eastAsia="es-ES"/>
        </w:rPr>
      </w:pPr>
    </w:p>
    <w:p w:rsidR="00BF6F27" w:rsidRPr="00BF6F27" w:rsidRDefault="00BF6F27" w:rsidP="00BF6F27">
      <w:pPr>
        <w:spacing w:after="0" w:line="240" w:lineRule="auto"/>
        <w:jc w:val="both"/>
        <w:rPr>
          <w:rFonts w:ascii="Times New Roman" w:eastAsia="Times New Roman" w:hAnsi="Times New Roman" w:cs="Times New Roman"/>
          <w:sz w:val="24"/>
          <w:szCs w:val="24"/>
          <w:lang w:eastAsia="es-ES"/>
        </w:rPr>
      </w:pPr>
    </w:p>
    <w:p w:rsidR="00BB12F2" w:rsidRPr="00BF6F27" w:rsidRDefault="00BB12F2">
      <w:pPr>
        <w:rPr>
          <w:rFonts w:ascii="Times New Roman" w:hAnsi="Times New Roman" w:cs="Times New Roman"/>
          <w:sz w:val="24"/>
          <w:szCs w:val="24"/>
        </w:rPr>
      </w:pPr>
    </w:p>
    <w:sectPr w:rsidR="00BB12F2" w:rsidRPr="00BF6F27" w:rsidSect="00BF6F27">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BF6F27"/>
    <w:rsid w:val="00BB12F2"/>
    <w:rsid w:val="00BF6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F2"/>
  </w:style>
  <w:style w:type="paragraph" w:styleId="Ttulo2">
    <w:name w:val="heading 2"/>
    <w:basedOn w:val="Normal"/>
    <w:link w:val="Ttulo2Car"/>
    <w:uiPriority w:val="9"/>
    <w:qFormat/>
    <w:rsid w:val="00BF6F27"/>
    <w:pPr>
      <w:spacing w:after="285"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F6F27"/>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BF6F27"/>
    <w:rPr>
      <w:strike w:val="0"/>
      <w:dstrike w:val="0"/>
      <w:color w:val="0089E1"/>
      <w:u w:val="none"/>
      <w:effect w:val="none"/>
    </w:rPr>
  </w:style>
  <w:style w:type="character" w:styleId="Textoennegrita">
    <w:name w:val="Strong"/>
    <w:basedOn w:val="Fuentedeprrafopredeter"/>
    <w:uiPriority w:val="22"/>
    <w:qFormat/>
    <w:rsid w:val="00BF6F2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46" TargetMode="External"/><Relationship Id="rId13" Type="http://schemas.openxmlformats.org/officeDocument/2006/relationships/hyperlink" Target="http://www.ceta.org.co/html/vista_de_un_articulo.asp?Norma=717"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742" TargetMode="External"/><Relationship Id="rId12" Type="http://schemas.openxmlformats.org/officeDocument/2006/relationships/hyperlink" Target="http://www.ceta.org.co/html/vista_de_un_articulo.asp?Norma=8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739" TargetMode="External"/><Relationship Id="rId11" Type="http://schemas.openxmlformats.org/officeDocument/2006/relationships/hyperlink" Target="http://www.ceta.org.co/html/vista_de_un_articulo.asp?Norma=725" TargetMode="External"/><Relationship Id="rId5" Type="http://schemas.openxmlformats.org/officeDocument/2006/relationships/hyperlink" Target="http://www.ceta.org.co/html/vista_de_un_articulo.asp?Norma=736" TargetMode="External"/><Relationship Id="rId15" Type="http://schemas.openxmlformats.org/officeDocument/2006/relationships/theme" Target="theme/theme1.xml"/><Relationship Id="rId10" Type="http://schemas.openxmlformats.org/officeDocument/2006/relationships/hyperlink" Target="http://www.ceta.org.co/html/vista_de_un_articulo.asp?Norma=808" TargetMode="External"/><Relationship Id="rId4" Type="http://schemas.openxmlformats.org/officeDocument/2006/relationships/hyperlink" Target="http://www.ceta.org.co/html/vista_de_un_articulo.asp?Norma=713" TargetMode="External"/><Relationship Id="rId9" Type="http://schemas.openxmlformats.org/officeDocument/2006/relationships/hyperlink" Target="http://www.ceta.org.co/html/vista_de_un_articulo.asp?Norma=717"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990</Words>
  <Characters>5448</Characters>
  <Application>Microsoft Office Word</Application>
  <DocSecurity>0</DocSecurity>
  <Lines>45</Lines>
  <Paragraphs>12</Paragraphs>
  <ScaleCrop>false</ScaleCrop>
  <Company>PERSONAL</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dc:creator>
  <cp:keywords/>
  <dc:description/>
  <cp:lastModifiedBy>GUILLERMO ALZATE</cp:lastModifiedBy>
  <cp:revision>1</cp:revision>
  <dcterms:created xsi:type="dcterms:W3CDTF">2012-01-24T17:27:00Z</dcterms:created>
  <dcterms:modified xsi:type="dcterms:W3CDTF">2012-01-24T17:30:00Z</dcterms:modified>
</cp:coreProperties>
</file>